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64caad4140e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26024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DUGO SELO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1.768.585,60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1.791.139,07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1.675.861,31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1.789.105,14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92.724,29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2.033,93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19.678,88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11.049,19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19.678,88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11.049,19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9.015,26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Dječji vrtić Dugo Selo je proračunski korisnik Grada Dugo Selo i posluje u sustavu pune Riznice.  U Dječjem vrtiću provodi se redovan program predškolskog odgoja i obrazovanja koji obuhvaća njegu, odgoj, obrazovanje, zdravstvenu zaštitu, prehranu i socijalnu skrb djece od jedne godine do polaska u školu. Program se provodi sukladno Zakonu o predškolskom odgoju i obrazovanju, Državnom pedagoškom standardu predškolskog odgoja i naobrazbe i Zakonu o ustanovama. </w:t>
      </w:r>
    </w:p>
    <w:p>
      <w:r>
        <w:rPr>
          <w:b/>
        </w:rPr>
        <w:t xml:space="preserve">Višak prihoda poslovanja u razdoblju 1-6/2026.g. u iznosu 2.033,93 EUR</w:t>
      </w:r>
      <w:r>
        <w:t xml:space="preserve"> rezultat je manjka prihoda iz Proračuna ( izvor 11 ) u iznosu -18.048,01 EUR i viška prihoda od roditelja ( izvor 43 ) u iznosu 20.081,94 EUR. Iz 2025.g. prenesen je manjak prihoda poslovanja ( izvor 11 ) u iznosu -174.033,63 EUR, te ukupni manjak prihoda poslovanja na dan 30.06.2026.g. iznosi - 171.999,70 EUR. Manjak prihoda poslovanja odnosi se na prihod iz proračuna i to je metodološki manjak jer se rashodi knjiže u trenutku nastanka, a prihodi kad se naplate. Višak prihoda iz izvora 43 planira se utrošiti u drugom polugodištu za nabavu sitnog inventara i potrošnog materijala za potrebe otvaranja novog područnog objekta koji se planira otvoriti u rujnu 2026.g.</w:t>
      </w:r>
    </w:p>
    <w:p>
      <w:r>
        <w:t xml:space="preserve">  </w:t>
      </w:r>
      <w:r>
        <w:rPr>
          <w:b/>
        </w:rPr>
        <w:t xml:space="preserve">Manjak prihoda od nefinancijske imovine za razdoblje 1-6/2026.g. iznosi 11.049,19 EUR. </w:t>
      </w:r>
      <w:r>
        <w:t xml:space="preserve">U 2026.g. vrtić nije imao prihode od nefinancijske imovine, ukupni rashodi za nabavu nefinancijske imovine financirani su prihodom iz Proračuna za nabavu nefinancijske imovine i iznose 11.049,19 EUR te je ostvaren manjak prihoda od nefinancijske imovine u iznosu 11.049,19 EUR.  Iz 2025.g. prenesen je manjak prihoda za nabavu nefinancijske imovine u iznosu 3.545,00 EUR te ukupni manjak na dan 30.06. iznosi 14.594,19 EUR. Računi iz 2025.g. su podmireni u 2026.g. prihodom iz Proračuna za financiranje rashoda za nabavu nefinancijske imovine ( izvor 11 ). </w:t>
      </w:r>
    </w:p>
    <w:p>
      <w:r>
        <w:rPr>
          <w:b/>
        </w:rPr>
        <w:t xml:space="preserve">Ukupan manjak prihoda za razdoblje 1-6/2026 u iznosu -9.015,26 EUR</w:t>
      </w:r>
      <w:r>
        <w:t xml:space="preserve"> rezultat je viška prihoda poslovanja u iznosu 2.033,93 EUR i manjka prihoda od nefinancijske imovine u iznosu -11.049,19 EUR.  Prema izvorima financiranja ukupan manjak prihoda u iznosu -9.015,26 EUR sastoji se od manjka prihoda iz proračuna ( izvor 11 ) u iznosu -29.097,20 EUR i viška prihoda od roditelja ( izvor 43 ) u iznosu 20.081,94 EUR.</w:t>
      </w:r>
    </w:p>
    <w:p>
      <w:r>
        <w:t xml:space="preserve">Manjak prihoda iz Proračuna ( izvor 1.1. ) nastao je  jer je prihod za rashode iz 2025.g.  realiziran u 2026.g. iznosio 217.138,45 EUR, a rashodi za lipanj koji se financiraju iz izvora 1.1. za koje nije realiziran prihod do 30.06.2026.g. iznose 246.235,65 EUR ( 217.138,45  -246.235,65 = - 29.097,20 ). Prihodi za rashode iz izvora 1.1. u razdoblju 1-5/26 jednaki su rashodima koji se financiraju iz njih. Višak prihoda iz izvora 43 nastao je jer se u drugom polugodištu planira nabava sitnog inventara i potrošnog materijala za potrebe rada novog područnog objekta koji se planira otvoriti u rujnu 2026.g.                </w:t>
      </w:r>
    </w:p>
    <w:p>
      <w:r>
        <w:rPr>
          <w:b/>
        </w:rPr>
        <w:t xml:space="preserve">REZULTAT ZA PRIJENOS U SLIJEDEĆE RAZDOBLJE</w:t>
      </w:r>
    </w:p>
    <w:p>
      <w:r>
        <w:t xml:space="preserve">Ukupan iznos manjka prihoda za prijenos u slijedeće razdoblje u iznosu -186.593,89 EUR sastoji se od manjka prihoda poslovanja u iznosu -171.999,70 EUR i manjka prihoda od nefinancijske imovine u iznosu -14.594,19 EUR.</w:t>
      </w:r>
    </w:p>
    <w:p>
      <w:r>
        <w:t xml:space="preserve">Prema izvorima financiranja ukupni manjak prihoda za prijenos u slijedeće razdoblje u iznosu 186.593,89 EUR sastoji se od manjka prihoda iz proračuna ( izvor 11 ) u iznosu -206.675,83 EUR i viška prihoda iz izvora 43 u iznosu 20.081,94 EUR.</w:t>
      </w:r>
    </w:p>
    <w:p>
      <w:r>
        <w:t xml:space="preserve">Manjak prihoda iz Proračuna je metodološki manjak jer se rashodi priznaju u trenutku nastanka, a prihodi kad se naplate. Manjak se odnosi na za rashode iz lipnja koji dospijevaju na naplatu u srpnju ( bruto plaća, doprinos, nagrade, naknade i računi ) te će i prihod biti realiziran u srpnju prilikom isplate plaće i plaćanja računa. U 2026.g. realiziran je prihod za rashode poslovanja iz prosinca 2025.g. koji su dospjeli na naplatu u 2026.g. ( bruto plaća, doprinos, naknade, nagrade i računi ). Višak prihoda iz izvora 43 planira se potrošiti u drugom polugodištu za nabavu sitnog inventara i potrošnog materijala za potrebe rada novog područnog objekta koji se planira otvoriti u rujnu 2026.g.               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264.123,49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256.311,07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97,0</w:t>
            </w:r>
          </w:p>
        </w:tc>
      </w:tr>
    </w:tbl>
    <w:p>
      <w:pPr>
        <w:spacing w:before="0" w:after="0"/>
      </w:pPr>
    </w:p>
    <w:p>
      <w:r>
        <w:t xml:space="preserve">Prihod se odnosi na prihod od roditelja za usluge primarnog programa i kraćeg sportskog programa. Ostali prihodi odnose se na naplatu troškova ovrhe. Prihod je manji u odnosu na prošlu godinu zbog manjeg broja upisane djece, a zbog usklađenja sa Pedagoškim standardom.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596,39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89,4</w:t>
            </w:r>
          </w:p>
        </w:tc>
      </w:tr>
    </w:tbl>
    <w:p>
      <w:pPr>
        <w:spacing w:before="0" w:after="0"/>
      </w:pPr>
    </w:p>
    <w:p>
      <w:r>
        <w:t xml:space="preserve">Prihod se odnosi na prihod od prodaje viška električne energije iz obnovljivih izvora.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287,5</w:t>
            </w:r>
          </w:p>
        </w:tc>
      </w:tr>
    </w:tbl>
    <w:p>
      <w:pPr>
        <w:spacing w:before="0" w:after="0"/>
      </w:pPr>
    </w:p>
    <w:p>
      <w:r>
        <w:t xml:space="preserve">Prihod se odnosi na prihod od najamnine i kotizacija, a veći je zbog prihoda od kotizacija za radionice Stručno razvojnog centra kojeg nije bilo u 2025.g.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46.807,38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14.107,94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30,1</w:t>
            </w:r>
          </w:p>
        </w:tc>
      </w:tr>
    </w:tbl>
    <w:p>
      <w:pPr>
        <w:spacing w:before="0" w:after="0"/>
      </w:pPr>
    </w:p>
    <w:p>
      <w:r>
        <w:t xml:space="preserve">Prihod je manji u odnosu na prethodnu godinu jer je u 2025.g.  realiziran prihod za nabavu nefinancijske imovine nabavljene u prosincu 2024.g. u iznosu 27.128,50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1.069.196,18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1.153.361,03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</w:tbl>
    <w:p>
      <w:pPr>
        <w:spacing w:before="0" w:after="0"/>
      </w:pPr>
    </w:p>
    <w:p>
      <w:r>
        <w:t xml:space="preserve">Rashodi su veći u odnosu na isto razdoblje prethodne godine zbog većeg broja zaposlenih i povećanja plaća sukladno Zakonu o predškolskom odgoju i obrazovanju. Prosječan broj zaposlenih u 2025 g. bio je 110, a u 2026.g. je 114. Rashodi za prekovremeni rad veći su zbog velikog broja bolovanja zaposlenika za koje je teško naći zamjene pa postojeći zaposleni rade prekovremeno.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328,7</w:t>
            </w:r>
          </w:p>
        </w:tc>
      </w:tr>
    </w:tbl>
    <w:p>
      <w:pPr>
        <w:spacing w:before="0" w:after="0"/>
      </w:pPr>
    </w:p>
    <w:p>
      <w:r>
        <w:t xml:space="preserve">Rashodi su veći zbog troškova prijevoza, dnevnica i smještaja na službenom putu koji se odnosi na seminar i inozemnih dnevnica za vrijeme zimovanja djece. U 2025.g. nije bilo troškova smještaja i dnevnica za seminare ni troškova inozemnih dnevnica,.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2.480,13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1.461,00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58,9</w:t>
            </w:r>
          </w:p>
        </w:tc>
      </w:tr>
    </w:tbl>
    <w:p>
      <w:pPr>
        <w:spacing w:before="0" w:after="0"/>
      </w:pPr>
    </w:p>
    <w:p>
      <w:r>
        <w:t xml:space="preserve">Rashodi su bili veći u 2025.g. zbog osposobljavanja djelatnika za zaštitu na radu.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68.613,04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76.017,79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110,8</w:t>
            </w:r>
          </w:p>
        </w:tc>
      </w:tr>
    </w:tbl>
    <w:p>
      <w:pPr>
        <w:spacing w:before="0" w:after="0"/>
      </w:pPr>
    </w:p>
    <w:p>
      <w:r>
        <w:t xml:space="preserve">Rashodi se odnose na namirnice za prehranu djece i veći su u odnosu na prethodnu godinu zbog povećanja cijena namirnica.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2.814,19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56,0</w:t>
            </w:r>
          </w:p>
        </w:tc>
      </w:tr>
    </w:tbl>
    <w:p>
      <w:pPr>
        <w:spacing w:before="0" w:after="0"/>
      </w:pPr>
    </w:p>
    <w:p>
      <w:r>
        <w:t xml:space="preserve">Rashodi su manji u odnosu na prethodnu godinu zbog manjeg broja popravaka opreme i objekta.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4.783,21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6.862,30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143,5</w:t>
            </w:r>
          </w:p>
        </w:tc>
      </w:tr>
    </w:tbl>
    <w:p>
      <w:pPr>
        <w:spacing w:before="0" w:after="0"/>
      </w:pPr>
    </w:p>
    <w:p>
      <w:r>
        <w:t xml:space="preserve">Rashodi za nabavu sitnog inventara veći su zbog nabave posteljine i suđa za područni  objekt koji se planira otvoriti u 9. mjesecu. Ostala nabava odnosi se na didaktiku, igračke i pribor za čišćenje i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3.806,91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2,3</w:t>
            </w:r>
          </w:p>
        </w:tc>
      </w:tr>
    </w:tbl>
    <w:p>
      <w:pPr>
        <w:spacing w:before="0" w:after="0"/>
      </w:pPr>
    </w:p>
    <w:p>
      <w:r>
        <w:t xml:space="preserve">Rashodi su manji jer je u razdoblju 1-6/26 nabavljena samo radna odjeća i obuća za novo zaposlene djelatnike.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5.686,46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121,9</w:t>
            </w:r>
          </w:p>
        </w:tc>
      </w:tr>
    </w:tbl>
    <w:p>
      <w:pPr>
        <w:spacing w:before="0" w:after="0"/>
      </w:pPr>
    </w:p>
    <w:p>
      <w:r>
        <w:t xml:space="preserve">Rashodi su veći zbog većih troškova prijevoza djece ( u kazalište, izleti 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24.603,59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13.667,86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55,6</w:t>
            </w:r>
          </w:p>
        </w:tc>
      </w:tr>
    </w:tbl>
    <w:p>
      <w:pPr>
        <w:spacing w:before="0" w:after="0"/>
      </w:pPr>
    </w:p>
    <w:p>
      <w:r>
        <w:t xml:space="preserve">Rashodi su bili veći prethodne godine zbog adaptacije dijela kuhinje.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se odnose na objavu oglasa za javnu nabavu.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8.623,19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13.828,56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160,4</w:t>
            </w:r>
          </w:p>
        </w:tc>
      </w:tr>
    </w:tbl>
    <w:p>
      <w:pPr>
        <w:spacing w:before="0" w:after="0"/>
      </w:pPr>
    </w:p>
    <w:p>
      <w:r>
        <w:t xml:space="preserve">Rashodi su veći zbog većih cijena komunalnih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45.757,84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50.587,16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110,6</w:t>
            </w:r>
          </w:p>
        </w:tc>
      </w:tr>
    </w:tbl>
    <w:p>
      <w:pPr>
        <w:spacing w:before="0" w:after="0"/>
      </w:pPr>
    </w:p>
    <w:p>
      <w:r>
        <w:t xml:space="preserve">Rashodi za najamnine veći su u odnosu na prethodnu godinu zbog veće najamnine za građevinski objekt gdje je smješteno 6 odgojnih skupina.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18.959,29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32.224,06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170,0</w:t>
            </w:r>
          </w:p>
        </w:tc>
      </w:tr>
    </w:tbl>
    <w:p>
      <w:pPr>
        <w:spacing w:before="0" w:after="0"/>
      </w:pPr>
    </w:p>
    <w:p>
      <w:r>
        <w:t xml:space="preserve">Rashodi se odnose na kontrole hrane i briseva, sistematske preglede zaposlenika i preglede za sanitarne iskaznice, a veći su zbog većeg broja zaposlenih i povećanja cijene sistematskih pregleda i zdravstvenih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9.042,29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122,0</w:t>
            </w:r>
          </w:p>
        </w:tc>
      </w:tr>
    </w:tbl>
    <w:p>
      <w:pPr>
        <w:spacing w:before="0" w:after="0"/>
      </w:pPr>
    </w:p>
    <w:p>
      <w:r>
        <w:t xml:space="preserve">Rashodi su veći zbog povećanja cijena usluga pravnog savjetovanja.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11.820,30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3.478,46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29,4</w:t>
            </w:r>
          </w:p>
        </w:tc>
      </w:tr>
    </w:tbl>
    <w:p>
      <w:pPr>
        <w:spacing w:before="0" w:after="0"/>
      </w:pPr>
    </w:p>
    <w:p>
      <w:r>
        <w:t xml:space="preserve">Rashodi za računalne usluge bili su veći u prethodnoj godini zbog troškova informatičkih usluga digitalne platforme Okitoki za unapređenje komunikacije između roditelja i djelatnika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1.620,83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3.401,45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209,9</w:t>
            </w:r>
          </w:p>
        </w:tc>
      </w:tr>
    </w:tbl>
    <w:p>
      <w:pPr>
        <w:spacing w:before="0" w:after="0"/>
      </w:pPr>
    </w:p>
    <w:p>
      <w:r>
        <w:t xml:space="preserve">Rashodi za ostale usluge veći su u odnosu na prethodnu godinu zbog većih troškova čuvanja imovine i osoba ( plaćanje mjesečne naknade Vatrogasnoj zajednici ZŽ, mjesečne naknade poduzeću Sokol d.o.o. za usluge centralnog dojavnog sustava 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976,82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67,4</w:t>
            </w:r>
          </w:p>
        </w:tc>
      </w:tr>
    </w:tbl>
    <w:p>
      <w:pPr>
        <w:spacing w:before="0" w:after="0"/>
      </w:pPr>
    </w:p>
    <w:p>
      <w:r>
        <w:t xml:space="preserve">Rashodi su manji zbog održanog manjeg broja sjednica.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3.392,37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14,3</w:t>
            </w:r>
          </w:p>
        </w:tc>
      </w:tr>
    </w:tbl>
    <w:p>
      <w:pPr>
        <w:spacing w:before="0" w:after="0"/>
      </w:pPr>
    </w:p>
    <w:p>
      <w:r>
        <w:t xml:space="preserve">Rashodi za pristojbe i naknade manji su u odnosu na prethodnu godinu zbog manje naknade poslodavca zbog nezapošljavanja osoba s invaliditetom jer se povećao broj zaposlenih osoba s invaliditetom.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1.056,69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23,0</w:t>
            </w:r>
          </w:p>
        </w:tc>
      </w:tr>
    </w:tbl>
    <w:p>
      <w:pPr>
        <w:spacing w:before="0" w:after="0"/>
      </w:pPr>
    </w:p>
    <w:p>
      <w:r>
        <w:t xml:space="preserve">Rashodi su bili veći prošle godine zbog troškova izrade znakova za parkiralište.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125,1</w:t>
            </w:r>
          </w:p>
        </w:tc>
      </w:tr>
    </w:tbl>
    <w:p>
      <w:pPr>
        <w:spacing w:before="0" w:after="0"/>
      </w:pPr>
    </w:p>
    <w:p>
      <w:r>
        <w:t xml:space="preserve">Financijski rashodi pretežito se odnose na troškove posredovanja pri plaćanju usluga dječjeg vrtića putem keks pay aplikacije i zatezne kamate zbog kašnjenja plaćanja računa.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92.724,29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2.033,93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2,2</w:t>
            </w:r>
          </w:p>
        </w:tc>
      </w:tr>
    </w:tbl>
    <w:p>
      <w:pPr>
        <w:spacing w:before="0" w:after="0"/>
      </w:pPr>
    </w:p>
    <w:p>
      <w:r>
        <w:t xml:space="preserve">Višak prihoda poslovanja u razdoblju 1-6/2026.g. u iznosu 2.033,93 EUR rezultat je manjka prihoda iz Proračuna ( izvor 11 ) u iznosu -18.048,01 EUR i viška prihoda od roditelja ( izvor 43 ) u iznosu 20.081,94 EUR. Iz 2025.g. prenesen je manjak prihoda poslovanja ( izvor 11 ) u iznosu -174.033,63 EUR, te ukupni manjak prihoda poslovanja na dan 30.06.2026.g. iznosi - 171.999,70 EUR. Manjak prihoda poslovanja odnosi se na prihod iz proračuna i to je metodološki manjak jer se rashodi knjiže u trenutku nastanka, a prihodi kad se naplate. Višak prihoda iz izvora 43 planira se utrošiti u drugom polugodištu za nabavu sitnog inventara i potrošnog materijala za potrebe otvaranja novog područnog objekta koji se planira otvoriti u rujnu 2026.g.                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56.392,62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56.551,16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100,3</w:t>
            </w:r>
          </w:p>
        </w:tc>
      </w:tr>
    </w:tbl>
    <w:p>
      <w:pPr>
        <w:spacing w:before="0" w:after="0"/>
      </w:pPr>
    </w:p>
    <w:p>
      <w:r>
        <w:t xml:space="preserve">Obračunati, nenaplaćeni prihodi poslovanja odnose se na prihod od roditelja za usluge primarnog i kraćeg sportskog programa, za kotizaciju od radionica SRC-a i prihod od najamnine.  Potraživanja od roditelja pretežito se odnose na potraživanje za usluge vrtića u 6. mjesecu ( 39.986,00 EUR ) koje dospijeva na naplatu u srpnju 2026.g.. Dospjela potraživanja odnose se na potraživanja od roditelja čija djeca pohađaju vrtić i koja se planiraju naplatiti redovnim putem, te na potraživanja od roditelja čija su djeca ispisana iz vrtića i za koja je pokrenut postupak prisilne naplate.  Potraživanje za prihod od najma i od kotizacije odnosi se na usluge iz 6. mjeseca koje dospijevaju u srpnju.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19.678,88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11.049,19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56,1</w:t>
            </w:r>
          </w:p>
        </w:tc>
      </w:tr>
    </w:tbl>
    <w:p>
      <w:pPr>
        <w:spacing w:before="0" w:after="0"/>
      </w:pPr>
    </w:p>
    <w:p>
      <w:r>
        <w:t xml:space="preserve">Nabava dugotrajne nefinancijske imovine odnosi se na namještaj za odgojne skupine i uredski namještaj, parni čistač, šivaći stroj i računalo. Rashodi su bili veći u 2025.g. zbog dobave i ugradnje sustava portafonije u područnom objektu.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9.015,26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Ukupan manjak prihoda za razdoblje 1-6/2026 u iznosu -9.015,26 EUR rezultat je viška prihoda poslovanja u iznosu 2.033,93 EUR i manjka prihoda od nefinancijske imovine u iznosu -11.049,19 EUR.</w:t>
      </w:r>
    </w:p>
    <w:p>
      <w:r>
        <w:t xml:space="preserve">Prema izvorima financiranja ukupan manjak prihoda u iznosu -9.015,26 EUR sastoji se od manjka prihoda iz proračuna ( izvor 11 ) u iznosu -29.097,20 EUR i viška prihoda od roditelja ( izvor 43 ) u iznosu 20.081,94 EUR. Manjak prihoda iz Proračuna ( izvor 1.1. ) nastao je  jer je prihod za rashode iz 2025.g.  realiziran u 2026.g. iznosio 217.138,45 EUR, a rashodi za lipanj koji se financiraju iz izvora 1.1. za koje nije realiziran prihod do 30.06.2026.g. iznose 246.235,65 EUR ( 217.138,45  -246.235,65 = - 29.097,20 ). Prihodi za rashode iz izvora 1.1. u razdoblju 1-5/26 jednaki su rashodima koji se financiraju iz njih. Višak prihoda iz izvora 43 nastao je jer se u drugom polugodištu planira nabava sitnog inventara i potrošnog materijala za potrebe rada novog područnog objekta koji se planira otvoriti u rujnu 2026.g.              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59.769,40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186.593,89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312,2</w:t>
            </w:r>
          </w:p>
        </w:tc>
      </w:tr>
    </w:tbl>
    <w:p>
      <w:pPr>
        <w:spacing w:before="0" w:after="0"/>
      </w:pPr>
    </w:p>
    <w:p>
      <w:r>
        <w:t xml:space="preserve">Ukupan iznos manjka prihoda za prijenos u slijedeće razdoblje u iznosu -186.593,89 EUR sastoji se od manjka prihoda poslovanja u iznosu -171.999,70 EUR i manjka prihoda od nefinancijske imovine u iznosu -14.594,19 EUR.                                                                                                                     </w:t>
      </w:r>
    </w:p>
    <w:p>
      <w:r>
        <w:t xml:space="preserve">Prema izvorima financiranja ukupni manjak prihoda za prijenos u slijedeće razdoblje u iznosu 186.593,89 EUR sastoji se od manjka prihoda iz proračuna ( izvor 11 ) u iznosu -206.675,83 EUR i viška prihoda iz izvora 43 u iznosu 20.081,94 EUR.</w:t>
      </w:r>
    </w:p>
    <w:p>
      <w:r>
        <w:t xml:space="preserve">Manjak prihoda iz Proračuna je metodološki manjak jer se rashodi priznaju u trenutku nastanka, a prihodi kad se naplate. Manjak se odnosi na za rashode iz lipnja koji dospijevaju na naplatu u srpnju ( bruto plaća, doprinos, nagrade, naknade i računi ) te će i prihod biti realiziran u srpnju prilikom isplate plaće i plaćanja računa. U 2026.g. realiziran je prihod za rashode poslovanja iz prosinca 2025.g. koji su dospjeli na naplatu u 2026.g. ( bruto plaća, doprinos, naknade, nagrade i računi ). Višak prihoda iz izvora 43 planira se potrošiti u drugom polugodištu za nabavu sitnog inventara i potrošnog materijala za potrebe rada novog područnog objekta koji se planira otvoriti u rujnu 2026.g.               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11.040,85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Dječji vrtić posluje u sustavu pune Riznice Grada Dugog Sela i sva plaćanja vrši Grad. Dospjele obveze nastale su zbog razlike u dinamici realizacije prihoda u odnosu na dospjele obveze. Sve dospjele obveze podmirit će se u srpnju po realizaciji prihoda.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27c9a08e064c2f" /></Relationships>
</file>